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20"/>
        </w:rPr>
        <w:t>FAIRBYDESIGN</w:t>
      </w:r>
      <w:r>
        <w:t xml:space="preserve">  |  FBD-EL-001</w:t>
      </w:r>
    </w:p>
    <w:p>
      <w:pPr>
        <w:pStyle w:val="Title"/>
      </w:pPr>
      <w:r>
        <w:t>Evidence Lab 001 - Project Plan</w:t>
      </w:r>
    </w:p>
    <w:p>
      <w:r>
        <w:rPr>
          <w:i/>
        </w:rPr>
        <w:t>Build, run, analyze and publish The Agent Control Gate this week</w:t>
      </w:r>
    </w:p>
    <w:p>
      <w:r>
        <w:rPr>
          <w:b/>
        </w:rPr>
        <w:t>Evidence before assertion. Reproducible methods. Results that survive scrutiny.</w:t>
      </w:r>
    </w:p>
    <w:p/>
    <w:p>
      <w:pPr>
        <w:pStyle w:val="Heading1"/>
      </w:pPr>
      <w:r>
        <w:t>Project outcome</w:t>
      </w:r>
    </w:p>
    <w:p>
      <w:r>
        <w:t>By the end of this project, FairByDesign will have a reproducible first Evidence Lab publication with a functioning test rig, frozen protocol, structured run data, analysis, code/reproduction package and a publishable article. The project is intentionally scoped to finish without sacrificing the evidence standard.</w:t>
      </w:r>
    </w:p>
    <w:p>
      <w:pPr>
        <w:pStyle w:val="Heading1"/>
      </w:pPr>
      <w:r>
        <w:t>Definition of done</w:t>
      </w:r>
    </w:p>
    <w:p>
      <w:pPr>
        <w:ind w:left="216"/>
      </w:pPr>
      <w:r>
        <w:rPr>
          <w:b/>
        </w:rPr>
        <w:t xml:space="preserve">[ ] </w:t>
      </w:r>
      <w:r>
        <w:t>320-run target matrix completed, or a pre-disclosed consistently reduced matrix if cost/time requires it.</w:t>
      </w:r>
    </w:p>
    <w:p>
      <w:pPr>
        <w:ind w:left="216"/>
      </w:pPr>
      <w:r>
        <w:rPr>
          <w:b/>
        </w:rPr>
        <w:t xml:space="preserve">[ ] </w:t>
      </w:r>
      <w:r>
        <w:t>Raw machine-readable results preserved before analysis.</w:t>
      </w:r>
    </w:p>
    <w:p>
      <w:pPr>
        <w:ind w:left="216"/>
      </w:pPr>
      <w:r>
        <w:rPr>
          <w:b/>
        </w:rPr>
        <w:t xml:space="preserve">[ ] </w:t>
      </w:r>
      <w:r>
        <w:t>At least one verification rerun subset completed from a clean environment.</w:t>
      </w:r>
    </w:p>
    <w:p>
      <w:pPr>
        <w:ind w:left="216"/>
      </w:pPr>
      <w:r>
        <w:rPr>
          <w:b/>
        </w:rPr>
        <w:t xml:space="preserve">[ ] </w:t>
      </w:r>
      <w:r>
        <w:t>All major findings trace to run IDs and reproducible calculations.</w:t>
      </w:r>
    </w:p>
    <w:p>
      <w:pPr>
        <w:ind w:left="216"/>
      </w:pPr>
      <w:r>
        <w:rPr>
          <w:b/>
        </w:rPr>
        <w:t xml:space="preserve">[ ] </w:t>
      </w:r>
      <w:r>
        <w:t>At least one control failure or uncomfortable result is discussed if observed; no selective omission.</w:t>
      </w:r>
    </w:p>
    <w:p>
      <w:pPr>
        <w:ind w:left="216"/>
      </w:pPr>
      <w:r>
        <w:rPr>
          <w:b/>
        </w:rPr>
        <w:t xml:space="preserve">[ ] </w:t>
      </w:r>
      <w:r>
        <w:t>Public methodology, versions, limitations and reproduction instructions complete.</w:t>
      </w:r>
    </w:p>
    <w:p>
      <w:pPr>
        <w:ind w:left="216"/>
      </w:pPr>
      <w:r>
        <w:rPr>
          <w:b/>
        </w:rPr>
        <w:t xml:space="preserve">[ ] </w:t>
      </w:r>
      <w:r>
        <w:t>Website Evidence Lab page published and linked from the new paper.</w:t>
      </w:r>
    </w:p>
    <w:p>
      <w:pPr>
        <w:ind w:left="216"/>
      </w:pPr>
      <w:r>
        <w:rPr>
          <w:b/>
        </w:rPr>
        <w:t xml:space="preserve">[ ] </w:t>
      </w:r>
      <w:r>
        <w:t>Lab 001 page/paper published with repository/data links where safe.</w:t>
      </w:r>
    </w:p>
    <w:p>
      <w:pPr>
        <w:pStyle w:val="Heading1"/>
      </w:pPr>
      <w:r>
        <w:t>This-week execution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1296"/>
            <w:vAlign w:val="center"/>
            <w:shd w:fill="D9E2F3"/>
          </w:tcPr>
          <w:p>
            <w:r/>
            <w:r>
              <w:rPr>
                <w:rFonts w:ascii="Aptos" w:hAnsi="Aptos"/>
                <w:b/>
                <w:sz w:val="15"/>
              </w:rPr>
              <w:t>Date</w:t>
            </w:r>
          </w:p>
        </w:tc>
        <w:tc>
          <w:tcPr>
            <w:tcW w:type="dxa" w:w="1656"/>
            <w:vAlign w:val="center"/>
            <w:shd w:fill="D9E2F3"/>
          </w:tcPr>
          <w:p>
            <w:r/>
            <w:r>
              <w:rPr>
                <w:rFonts w:ascii="Aptos" w:hAnsi="Aptos"/>
                <w:b/>
                <w:sz w:val="15"/>
              </w:rPr>
              <w:t>Workstream</w:t>
            </w:r>
          </w:p>
        </w:tc>
        <w:tc>
          <w:tcPr>
            <w:tcW w:type="dxa" w:w="5184"/>
            <w:vAlign w:val="center"/>
            <w:shd w:fill="D9E2F3"/>
          </w:tcPr>
          <w:p>
            <w:r/>
            <w:r>
              <w:rPr>
                <w:rFonts w:ascii="Aptos" w:hAnsi="Aptos"/>
                <w:b/>
                <w:sz w:val="15"/>
              </w:rPr>
              <w:t>Tasks</w:t>
            </w:r>
          </w:p>
        </w:tc>
        <w:tc>
          <w:tcPr>
            <w:tcW w:type="dxa" w:w="2880"/>
            <w:vAlign w:val="center"/>
            <w:shd w:fill="D9E2F3"/>
          </w:tcPr>
          <w:p>
            <w:r/>
            <w:r>
              <w:rPr>
                <w:rFonts w:ascii="Aptos" w:hAnsi="Aptos"/>
                <w:b/>
                <w:sz w:val="15"/>
              </w:rPr>
              <w:t>Output</w:t>
            </w:r>
          </w:p>
        </w:tc>
      </w:tr>
      <w:tr>
        <w:tc>
          <w:tcPr>
            <w:tcW w:type="dxa" w:w="1296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Tue Sep 22</w:t>
            </w:r>
          </w:p>
        </w:tc>
        <w:tc>
          <w:tcPr>
            <w:tcW w:type="dxa" w:w="1656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Scope + preregister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Freeze research question, claims, system policy, scenarios, metrics and exclusions. Create repo and environment. Publish or stage the Evidence Lab website page.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Protocol v1.0; repo skeleton; environment lock; website page ready.</w:t>
            </w:r>
          </w:p>
        </w:tc>
      </w:tr>
      <w:tr>
        <w:tc>
          <w:tcPr>
            <w:tcW w:type="dxa" w:w="1296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Wed Sep 23</w:t>
            </w:r>
          </w:p>
        </w:tc>
        <w:tc>
          <w:tcPr>
            <w:tcW w:type="dxa" w:w="1656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Build the rig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Implement synthetic DB, tools, shared run logger, baseline agent and prompt-only condition. Create fixtures and hashes.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Working baseline; structured JSON/CSV events; S01/S02 run end-to-end.</w:t>
            </w:r>
          </w:p>
        </w:tc>
      </w:tr>
      <w:tr>
        <w:tc>
          <w:tcPr>
            <w:tcW w:type="dxa" w:w="1296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Thu Sep 24</w:t>
            </w:r>
          </w:p>
        </w:tc>
        <w:tc>
          <w:tcPr>
            <w:tcW w:type="dxa" w:w="1656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Build enforcement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Implement deterministic runtime gate and approval validation. Add stable reason codes. Run calibration.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Conditions C/D work; calibration log; rig defects fixed. Protect study evening.</w:t>
            </w:r>
          </w:p>
        </w:tc>
      </w:tr>
      <w:tr>
        <w:tc>
          <w:tcPr>
            <w:tcW w:type="dxa" w:w="1296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Fri Sep 25</w:t>
            </w:r>
          </w:p>
        </w:tc>
        <w:tc>
          <w:tcPr>
            <w:tcW w:type="dxa" w:w="1656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Main benchmark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Freeze v1.0 and run the full matrix automatically. Back up raw results. Do no interpretive rewriting during collection.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Raw main-run dataset; run manifest; error/exclusion log. Protect study evening.</w:t>
            </w:r>
          </w:p>
        </w:tc>
      </w:tr>
      <w:tr>
        <w:tc>
          <w:tcPr>
            <w:tcW w:type="dxa" w:w="1296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Sat Sep 26</w:t>
            </w:r>
          </w:p>
        </w:tc>
        <w:tc>
          <w:tcPr>
            <w:tcW w:type="dxa" w:w="1656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QA + analysis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Validate data, calculate metrics, inspect failures, generate figures/tables. Execute verification rerun subset.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Clean derived dataset; calculation script/notebook; verification notes. Protect study evening.</w:t>
            </w:r>
          </w:p>
        </w:tc>
      </w:tr>
      <w:tr>
        <w:tc>
          <w:tcPr>
            <w:tcW w:type="dxa" w:w="1296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Sun Sep 27</w:t>
            </w:r>
          </w:p>
        </w:tc>
        <w:tc>
          <w:tcPr>
            <w:tcW w:type="dxa" w:w="1656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Write + publish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Write findings from evidence, assemble reproduction package, perform claim check, publish Lab 001 and link Evidence Lab page.</w:t>
            </w:r>
          </w:p>
        </w:tc>
        <w:tc>
          <w:tcPr>
            <w:tcW w:type="dxa" w:w="2880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  <w:t>Published paper + method/repo/data package; changelog; next rerun date.</w:t>
            </w:r>
          </w:p>
        </w:tc>
      </w:tr>
    </w:tbl>
    <w:p/>
    <w:p>
      <w:pPr>
        <w:pStyle w:val="Heading1"/>
      </w:pPr>
      <w:r>
        <w:t>Work breakdown structure</w:t>
      </w:r>
    </w:p>
    <w:p>
      <w:pPr>
        <w:pStyle w:val="Heading2"/>
      </w:pPr>
      <w:r>
        <w:t>A. Research governance</w:t>
      </w:r>
    </w:p>
    <w:p>
      <w:pPr>
        <w:ind w:left="216"/>
      </w:pPr>
      <w:r>
        <w:rPr>
          <w:b/>
        </w:rPr>
        <w:t xml:space="preserve">[ ] </w:t>
      </w:r>
      <w:r>
        <w:t>Create protocol file FBD-EL-001-v1.0 and freeze before main run.</w:t>
      </w:r>
    </w:p>
    <w:p>
      <w:pPr>
        <w:ind w:left="216"/>
      </w:pPr>
      <w:r>
        <w:rPr>
          <w:b/>
        </w:rPr>
        <w:t xml:space="preserve">[ ] </w:t>
      </w:r>
      <w:r>
        <w:t>Create CHANGELOG.md and deviations.md.</w:t>
      </w:r>
    </w:p>
    <w:p>
      <w:pPr>
        <w:ind w:left="216"/>
      </w:pPr>
      <w:r>
        <w:rPr>
          <w:b/>
        </w:rPr>
        <w:t xml:space="preserve">[ ] </w:t>
      </w:r>
      <w:r>
        <w:t>Record conflicts, funding/sponsorship if any, and independence statement.</w:t>
      </w:r>
    </w:p>
    <w:p>
      <w:pPr>
        <w:ind w:left="216"/>
      </w:pPr>
      <w:r>
        <w:rPr>
          <w:b/>
        </w:rPr>
        <w:t xml:space="preserve">[ ] </w:t>
      </w:r>
      <w:r>
        <w:t>Define which artifacts will be public and which will be withheld for security reasons.</w:t>
      </w:r>
    </w:p>
    <w:p>
      <w:pPr>
        <w:pStyle w:val="Heading2"/>
      </w:pPr>
      <w:r>
        <w:t>B. Repository and environment</w:t>
      </w:r>
    </w:p>
    <w:p>
      <w:pPr>
        <w:ind w:left="216"/>
      </w:pPr>
      <w:r>
        <w:rPr>
          <w:b/>
        </w:rPr>
        <w:t xml:space="preserve">[ ] </w:t>
      </w:r>
      <w:r>
        <w:t>Create repository folders: /rig, /fixtures, /policy, /runs/raw, /runs/processed, /analysis, /paper.</w:t>
      </w:r>
    </w:p>
    <w:p>
      <w:pPr>
        <w:ind w:left="216"/>
      </w:pPr>
      <w:r>
        <w:rPr>
          <w:b/>
        </w:rPr>
        <w:t xml:space="preserve">[ ] </w:t>
      </w:r>
      <w:r>
        <w:t>Create Python virtual environment or container and lock dependencies.</w:t>
      </w:r>
    </w:p>
    <w:p>
      <w:pPr>
        <w:ind w:left="216"/>
      </w:pPr>
      <w:r>
        <w:rPr>
          <w:b/>
        </w:rPr>
        <w:t xml:space="preserve">[ ] </w:t>
      </w:r>
      <w:r>
        <w:t>Record OS/container, Python and framework versions.</w:t>
      </w:r>
    </w:p>
    <w:p>
      <w:pPr>
        <w:ind w:left="216"/>
      </w:pPr>
      <w:r>
        <w:rPr>
          <w:b/>
        </w:rPr>
        <w:t xml:space="preserve">[ ] </w:t>
      </w:r>
      <w:r>
        <w:t>Create .env.example; never commit real secrets.</w:t>
      </w:r>
    </w:p>
    <w:p>
      <w:pPr>
        <w:pStyle w:val="Heading2"/>
      </w:pPr>
      <w:r>
        <w:t>C. Synthetic enterprise system</w:t>
      </w:r>
    </w:p>
    <w:p>
      <w:pPr>
        <w:ind w:left="216"/>
      </w:pPr>
      <w:r>
        <w:rPr>
          <w:b/>
        </w:rPr>
        <w:t xml:space="preserve">[ ] </w:t>
      </w:r>
      <w:r>
        <w:t>Create synthetic vendors, approvals, invoices and payment records.</w:t>
      </w:r>
    </w:p>
    <w:p>
      <w:pPr>
        <w:ind w:left="216"/>
      </w:pPr>
      <w:r>
        <w:rPr>
          <w:b/>
        </w:rPr>
        <w:t xml:space="preserve">[ ] </w:t>
      </w:r>
      <w:r>
        <w:t>Implement read_policy, read_vendor and fetch_invoice.</w:t>
      </w:r>
    </w:p>
    <w:p>
      <w:pPr>
        <w:ind w:left="216"/>
      </w:pPr>
      <w:r>
        <w:rPr>
          <w:b/>
        </w:rPr>
        <w:t xml:space="preserve">[ ] </w:t>
      </w:r>
      <w:r>
        <w:t>Implement update_vendor_bank, create_payment and send_notice as local-only state changes.</w:t>
      </w:r>
    </w:p>
    <w:p>
      <w:pPr>
        <w:ind w:left="216"/>
      </w:pPr>
      <w:r>
        <w:rPr>
          <w:b/>
        </w:rPr>
        <w:t xml:space="preserve">[ ] </w:t>
      </w:r>
      <w:r>
        <w:t>Add deterministic reset script so every run starts from known state.</w:t>
      </w:r>
    </w:p>
    <w:p>
      <w:pPr>
        <w:pStyle w:val="Heading2"/>
      </w:pPr>
      <w:r>
        <w:t>D. Instrumentation</w:t>
      </w:r>
    </w:p>
    <w:p>
      <w:pPr>
        <w:ind w:left="216"/>
      </w:pPr>
      <w:r>
        <w:rPr>
          <w:b/>
        </w:rPr>
        <w:t xml:space="preserve">[ ] </w:t>
      </w:r>
      <w:r>
        <w:t>Create immutable run_id and shared event schema.</w:t>
      </w:r>
    </w:p>
    <w:p>
      <w:pPr>
        <w:ind w:left="216"/>
      </w:pPr>
      <w:r>
        <w:rPr>
          <w:b/>
        </w:rPr>
        <w:t xml:space="preserve">[ ] </w:t>
      </w:r>
      <w:r>
        <w:t>Log model request/response metadata, attempted tools, arguments, control decision, reason code and execution result.</w:t>
      </w:r>
    </w:p>
    <w:p>
      <w:pPr>
        <w:ind w:left="216"/>
      </w:pPr>
      <w:r>
        <w:rPr>
          <w:b/>
        </w:rPr>
        <w:t xml:space="preserve">[ ] </w:t>
      </w:r>
      <w:r>
        <w:t>Add file hashes and policy version to every run.</w:t>
      </w:r>
    </w:p>
    <w:p>
      <w:pPr>
        <w:ind w:left="216"/>
      </w:pPr>
      <w:r>
        <w:rPr>
          <w:b/>
        </w:rPr>
        <w:t xml:space="preserve">[ ] </w:t>
      </w:r>
      <w:r>
        <w:t>Add latency timer and token/cost capture where available.</w:t>
      </w:r>
    </w:p>
    <w:p>
      <w:pPr>
        <w:pStyle w:val="Heading2"/>
      </w:pPr>
      <w:r>
        <w:t>E. Experimental conditions</w:t>
      </w:r>
    </w:p>
    <w:p>
      <w:pPr>
        <w:ind w:left="216"/>
      </w:pPr>
      <w:r>
        <w:rPr>
          <w:b/>
        </w:rPr>
        <w:t xml:space="preserve">[ ] </w:t>
      </w:r>
      <w:r>
        <w:t>Implement Condition A baseline.</w:t>
      </w:r>
    </w:p>
    <w:p>
      <w:pPr>
        <w:ind w:left="216"/>
      </w:pPr>
      <w:r>
        <w:rPr>
          <w:b/>
        </w:rPr>
        <w:t xml:space="preserve">[ ] </w:t>
      </w:r>
      <w:r>
        <w:t>Implement Condition B prompt-only policy.</w:t>
      </w:r>
    </w:p>
    <w:p>
      <w:pPr>
        <w:ind w:left="216"/>
      </w:pPr>
      <w:r>
        <w:rPr>
          <w:b/>
        </w:rPr>
        <w:t xml:space="preserve">[ ] </w:t>
      </w:r>
      <w:r>
        <w:t>Implement Condition C runtime middleware gate.</w:t>
      </w:r>
    </w:p>
    <w:p>
      <w:pPr>
        <w:ind w:left="216"/>
      </w:pPr>
      <w:r>
        <w:rPr>
          <w:b/>
        </w:rPr>
        <w:t xml:space="preserve">[ ] </w:t>
      </w:r>
      <w:r>
        <w:t>Implement Condition D runtime gate + scoped approval validation.</w:t>
      </w:r>
    </w:p>
    <w:p>
      <w:pPr>
        <w:ind w:left="216"/>
      </w:pPr>
      <w:r>
        <w:rPr>
          <w:b/>
        </w:rPr>
        <w:t xml:space="preserve">[ ] </w:t>
      </w:r>
      <w:r>
        <w:t>Unit-test gate logic independently from the LLM.</w:t>
      </w:r>
    </w:p>
    <w:p>
      <w:pPr>
        <w:pStyle w:val="Heading2"/>
      </w:pPr>
      <w:r>
        <w:t>F. Adversarial and benign fixtures</w:t>
      </w:r>
    </w:p>
    <w:p>
      <w:pPr>
        <w:ind w:left="216"/>
      </w:pPr>
      <w:r>
        <w:rPr>
          <w:b/>
        </w:rPr>
        <w:t xml:space="preserve">[ ] </w:t>
      </w:r>
      <w:r>
        <w:t>Create S01-S08 fixtures exactly as defined in protocol.</w:t>
      </w:r>
    </w:p>
    <w:p>
      <w:pPr>
        <w:ind w:left="216"/>
      </w:pPr>
      <w:r>
        <w:rPr>
          <w:b/>
        </w:rPr>
        <w:t xml:space="preserve">[ ] </w:t>
      </w:r>
      <w:r>
        <w:t>Hash and freeze fixtures.</w:t>
      </w:r>
    </w:p>
    <w:p>
      <w:pPr>
        <w:ind w:left="216"/>
      </w:pPr>
      <w:r>
        <w:rPr>
          <w:b/>
        </w:rPr>
        <w:t xml:space="preserve">[ ] </w:t>
      </w:r>
      <w:r>
        <w:t>Validate that S01 and S07 are genuinely legitimate controls.</w:t>
      </w:r>
    </w:p>
    <w:p>
      <w:pPr>
        <w:ind w:left="216"/>
      </w:pPr>
      <w:r>
        <w:rPr>
          <w:b/>
        </w:rPr>
        <w:t xml:space="preserve">[ ] </w:t>
      </w:r>
      <w:r>
        <w:t>Validate prohibited outcomes in S02-S06/S08 without relying on subjective prose interpretation.</w:t>
      </w:r>
    </w:p>
    <w:p>
      <w:pPr>
        <w:pStyle w:val="Heading2"/>
      </w:pPr>
      <w:r>
        <w:t>G. Calibration</w:t>
      </w:r>
    </w:p>
    <w:p>
      <w:pPr>
        <w:ind w:left="216"/>
      </w:pPr>
      <w:r>
        <w:rPr>
          <w:b/>
        </w:rPr>
        <w:t xml:space="preserve">[ ] </w:t>
      </w:r>
      <w:r>
        <w:t>Run minimum 2 benign + 2 adversarial examples per condition.</w:t>
      </w:r>
    </w:p>
    <w:p>
      <w:pPr>
        <w:ind w:left="216"/>
      </w:pPr>
      <w:r>
        <w:rPr>
          <w:b/>
        </w:rPr>
        <w:t xml:space="preserve">[ ] </w:t>
      </w:r>
      <w:r>
        <w:t>Fix missing logs, broken fixtures and deterministic code errors only.</w:t>
      </w:r>
    </w:p>
    <w:p>
      <w:pPr>
        <w:ind w:left="216"/>
      </w:pPr>
      <w:r>
        <w:rPr>
          <w:b/>
        </w:rPr>
        <w:t xml:space="preserve">[ ] </w:t>
      </w:r>
      <w:r>
        <w:t>Document every change made after calibration.</w:t>
      </w:r>
    </w:p>
    <w:p>
      <w:pPr>
        <w:ind w:left="216"/>
      </w:pPr>
      <w:r>
        <w:rPr>
          <w:b/>
        </w:rPr>
        <w:t xml:space="preserve">[ ] </w:t>
      </w:r>
      <w:r>
        <w:t>Re-freeze protocol/rig version before the main run.</w:t>
      </w:r>
    </w:p>
    <w:p>
      <w:pPr>
        <w:pStyle w:val="Heading2"/>
      </w:pPr>
      <w:r>
        <w:t>H. Main execution</w:t>
      </w:r>
    </w:p>
    <w:p>
      <w:pPr>
        <w:ind w:left="216"/>
      </w:pPr>
      <w:r>
        <w:rPr>
          <w:b/>
        </w:rPr>
        <w:t xml:space="preserve">[ ] </w:t>
      </w:r>
      <w:r>
        <w:t>Automate the run matrix; avoid manual copy/paste execution.</w:t>
      </w:r>
    </w:p>
    <w:p>
      <w:pPr>
        <w:ind w:left="216"/>
      </w:pPr>
      <w:r>
        <w:rPr>
          <w:b/>
        </w:rPr>
        <w:t xml:space="preserve">[ ] </w:t>
      </w:r>
      <w:r>
        <w:t>Write raw events append-only.</w:t>
      </w:r>
    </w:p>
    <w:p>
      <w:pPr>
        <w:ind w:left="216"/>
      </w:pPr>
      <w:r>
        <w:rPr>
          <w:b/>
        </w:rPr>
        <w:t xml:space="preserve">[ ] </w:t>
      </w:r>
      <w:r>
        <w:t>Snapshot raw data immediately after completion.</w:t>
      </w:r>
    </w:p>
    <w:p>
      <w:pPr>
        <w:ind w:left="216"/>
      </w:pPr>
      <w:r>
        <w:rPr>
          <w:b/>
        </w:rPr>
        <w:t xml:space="preserve">[ ] </w:t>
      </w:r>
      <w:r>
        <w:t>Keep a separate infrastructure-error log and apply only predefined rerun rules.</w:t>
      </w:r>
    </w:p>
    <w:p>
      <w:pPr>
        <w:pStyle w:val="Heading2"/>
      </w:pPr>
      <w:r>
        <w:t>I. Analysis</w:t>
      </w:r>
    </w:p>
    <w:p>
      <w:pPr>
        <w:ind w:left="216"/>
      </w:pPr>
      <w:r>
        <w:rPr>
          <w:b/>
        </w:rPr>
        <w:t xml:space="preserve">[ ] </w:t>
      </w:r>
      <w:r>
        <w:t>Compute UER, block rate, false-block rate, approval bypass, retry persistence failures and overhead.</w:t>
      </w:r>
    </w:p>
    <w:p>
      <w:pPr>
        <w:ind w:left="216"/>
      </w:pPr>
      <w:r>
        <w:rPr>
          <w:b/>
        </w:rPr>
        <w:t xml:space="preserve">[ ] </w:t>
      </w:r>
      <w:r>
        <w:t>Analyze by scenario and condition before any aggregate headline.</w:t>
      </w:r>
    </w:p>
    <w:p>
      <w:pPr>
        <w:ind w:left="216"/>
      </w:pPr>
      <w:r>
        <w:rPr>
          <w:b/>
        </w:rPr>
        <w:t xml:space="preserve">[ ] </w:t>
      </w:r>
      <w:r>
        <w:t>Inspect every unexpected successful prohibited action.</w:t>
      </w:r>
    </w:p>
    <w:p>
      <w:pPr>
        <w:ind w:left="216"/>
      </w:pPr>
      <w:r>
        <w:rPr>
          <w:b/>
        </w:rPr>
        <w:t xml:space="preserve">[ ] </w:t>
      </w:r>
      <w:r>
        <w:t>Inspect every benign false block.</w:t>
      </w:r>
    </w:p>
    <w:p>
      <w:pPr>
        <w:ind w:left="216"/>
      </w:pPr>
      <w:r>
        <w:rPr>
          <w:b/>
        </w:rPr>
        <w:t xml:space="preserve">[ ] </w:t>
      </w:r>
      <w:r>
        <w:t>Run reconstruction evidence check on all security-relevant outcomes.</w:t>
      </w:r>
    </w:p>
    <w:p>
      <w:pPr>
        <w:ind w:left="216"/>
      </w:pPr>
      <w:r>
        <w:rPr>
          <w:b/>
        </w:rPr>
        <w:t xml:space="preserve">[ ] </w:t>
      </w:r>
      <w:r>
        <w:t>Create charts directly from the processed dataset; never hand-edit values into charts.</w:t>
      </w:r>
    </w:p>
    <w:p>
      <w:pPr>
        <w:pStyle w:val="Heading2"/>
      </w:pPr>
      <w:r>
        <w:t>J. Verification</w:t>
      </w:r>
    </w:p>
    <w:p>
      <w:pPr>
        <w:ind w:left="216"/>
      </w:pPr>
      <w:r>
        <w:rPr>
          <w:b/>
        </w:rPr>
        <w:t xml:space="preserve">[ ] </w:t>
      </w:r>
      <w:r>
        <w:t>Randomly choose approximately 5% of runs or a minimum of 16 runs for clean rerun.</w:t>
      </w:r>
    </w:p>
    <w:p>
      <w:pPr>
        <w:ind w:left="216"/>
      </w:pPr>
      <w:r>
        <w:rPr>
          <w:b/>
        </w:rPr>
        <w:t xml:space="preserve">[ ] </w:t>
      </w:r>
      <w:r>
        <w:t>Compare outcome classification and control behavior.</w:t>
      </w:r>
    </w:p>
    <w:p>
      <w:pPr>
        <w:ind w:left="216"/>
      </w:pPr>
      <w:r>
        <w:rPr>
          <w:b/>
        </w:rPr>
        <w:t xml:space="preserve">[ ] </w:t>
      </w:r>
      <w:r>
        <w:t>If differences occur, report them and investigate version/state drift.</w:t>
      </w:r>
    </w:p>
    <w:p>
      <w:pPr>
        <w:pStyle w:val="Heading2"/>
      </w:pPr>
      <w:r>
        <w:t>K. Paper and release</w:t>
      </w:r>
    </w:p>
    <w:p>
      <w:pPr>
        <w:ind w:left="216"/>
      </w:pPr>
      <w:r>
        <w:rPr>
          <w:b/>
        </w:rPr>
        <w:t xml:space="preserve">[ ] </w:t>
      </w:r>
      <w:r>
        <w:t>Draft headline only after primary results exist.</w:t>
      </w:r>
    </w:p>
    <w:p>
      <w:pPr>
        <w:ind w:left="216"/>
      </w:pPr>
      <w:r>
        <w:rPr>
          <w:b/>
        </w:rPr>
        <w:t xml:space="preserve">[ ] </w:t>
      </w:r>
      <w:r>
        <w:t>Write methods before conclusions.</w:t>
      </w:r>
    </w:p>
    <w:p>
      <w:pPr>
        <w:ind w:left="216"/>
      </w:pPr>
      <w:r>
        <w:rPr>
          <w:b/>
        </w:rPr>
        <w:t xml:space="preserve">[ ] </w:t>
      </w:r>
      <w:r>
        <w:t>Attach counts to rate claims.</w:t>
      </w:r>
    </w:p>
    <w:p>
      <w:pPr>
        <w:ind w:left="216"/>
      </w:pPr>
      <w:r>
        <w:rPr>
          <w:b/>
        </w:rPr>
        <w:t xml:space="preserve">[ ] </w:t>
      </w:r>
      <w:r>
        <w:t>Include unflattering failures and negative results.</w:t>
      </w:r>
    </w:p>
    <w:p>
      <w:pPr>
        <w:ind w:left="216"/>
      </w:pPr>
      <w:r>
        <w:rPr>
          <w:b/>
        </w:rPr>
        <w:t xml:space="preserve">[ ] </w:t>
      </w:r>
      <w:r>
        <w:t>Run a source/claim audit for any statement about ACS, MCP, NIST or OWASP.</w:t>
      </w:r>
    </w:p>
    <w:p>
      <w:pPr>
        <w:ind w:left="216"/>
      </w:pPr>
      <w:r>
        <w:rPr>
          <w:b/>
        </w:rPr>
        <w:t xml:space="preserve">[ ] </w:t>
      </w:r>
      <w:r>
        <w:t>Publish limitations and what the experiment does not establish.</w:t>
      </w:r>
    </w:p>
    <w:p>
      <w:pPr>
        <w:ind w:left="216"/>
      </w:pPr>
      <w:r>
        <w:rPr>
          <w:b/>
        </w:rPr>
        <w:t xml:space="preserve">[ ] </w:t>
      </w:r>
      <w:r>
        <w:t>Publish code/data/method artifacts where safe.</w:t>
      </w:r>
    </w:p>
    <w:p>
      <w:pPr>
        <w:ind w:left="216"/>
      </w:pPr>
      <w:r>
        <w:rPr>
          <w:b/>
        </w:rPr>
        <w:t xml:space="preserve">[ ] </w:t>
      </w:r>
      <w:r>
        <w:t>Add citation instructions and a permanent URL.</w:t>
      </w:r>
    </w:p>
    <w:p>
      <w:pPr>
        <w:pStyle w:val="Heading1"/>
      </w:pPr>
      <w:r>
        <w:t>Daily research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1224"/>
            <w:vAlign w:val="center"/>
            <w:shd w:fill="D9E2F3"/>
          </w:tcPr>
          <w:p>
            <w:r/>
            <w:r>
              <w:rPr>
                <w:rFonts w:ascii="Aptos" w:hAnsi="Aptos"/>
                <w:b/>
                <w:sz w:val="15"/>
              </w:rPr>
              <w:t>Date</w:t>
            </w:r>
          </w:p>
        </w:tc>
        <w:tc>
          <w:tcPr>
            <w:tcW w:type="dxa" w:w="2592"/>
            <w:vAlign w:val="center"/>
            <w:shd w:fill="D9E2F3"/>
          </w:tcPr>
          <w:p>
            <w:r/>
            <w:r>
              <w:rPr>
                <w:rFonts w:ascii="Aptos" w:hAnsi="Aptos"/>
                <w:b/>
                <w:sz w:val="15"/>
              </w:rPr>
              <w:t>Task completed</w:t>
            </w:r>
          </w:p>
        </w:tc>
        <w:tc>
          <w:tcPr>
            <w:tcW w:type="dxa" w:w="3024"/>
            <w:vAlign w:val="center"/>
            <w:shd w:fill="D9E2F3"/>
          </w:tcPr>
          <w:p>
            <w:r/>
            <w:r>
              <w:rPr>
                <w:rFonts w:ascii="Aptos" w:hAnsi="Aptos"/>
                <w:b/>
                <w:sz w:val="15"/>
              </w:rPr>
              <w:t>Decision / change</w:t>
            </w:r>
          </w:p>
        </w:tc>
        <w:tc>
          <w:tcPr>
            <w:tcW w:type="dxa" w:w="2232"/>
            <w:vAlign w:val="center"/>
            <w:shd w:fill="D9E2F3"/>
          </w:tcPr>
          <w:p>
            <w:r/>
            <w:r>
              <w:rPr>
                <w:rFonts w:ascii="Aptos" w:hAnsi="Aptos"/>
                <w:b/>
                <w:sz w:val="15"/>
              </w:rPr>
              <w:t>Evidence / file</w:t>
            </w:r>
          </w:p>
        </w:tc>
        <w:tc>
          <w:tcPr>
            <w:tcW w:type="dxa" w:w="2088"/>
            <w:vAlign w:val="center"/>
            <w:shd w:fill="D9E2F3"/>
          </w:tcPr>
          <w:p>
            <w:r/>
            <w:r>
              <w:rPr>
                <w:rFonts w:ascii="Aptos" w:hAnsi="Aptos"/>
                <w:b/>
                <w:sz w:val="15"/>
              </w:rPr>
              <w:t>Next action</w:t>
            </w:r>
          </w:p>
        </w:tc>
      </w:tr>
      <w:tr>
        <w:tc>
          <w:tcPr>
            <w:tcW w:type="dxa" w:w="12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30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23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088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</w:tr>
      <w:tr>
        <w:tc>
          <w:tcPr>
            <w:tcW w:type="dxa" w:w="12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30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23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088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</w:tr>
      <w:tr>
        <w:tc>
          <w:tcPr>
            <w:tcW w:type="dxa" w:w="12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30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23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088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</w:tr>
      <w:tr>
        <w:tc>
          <w:tcPr>
            <w:tcW w:type="dxa" w:w="12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30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23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088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</w:tr>
      <w:tr>
        <w:tc>
          <w:tcPr>
            <w:tcW w:type="dxa" w:w="12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30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23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088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</w:tr>
      <w:tr>
        <w:tc>
          <w:tcPr>
            <w:tcW w:type="dxa" w:w="12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30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23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088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</w:tr>
      <w:tr>
        <w:tc>
          <w:tcPr>
            <w:tcW w:type="dxa" w:w="12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30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23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088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</w:tr>
      <w:tr>
        <w:tc>
          <w:tcPr>
            <w:tcW w:type="dxa" w:w="12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30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23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088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</w:tr>
      <w:tr>
        <w:tc>
          <w:tcPr>
            <w:tcW w:type="dxa" w:w="12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30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23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088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</w:tr>
      <w:tr>
        <w:tc>
          <w:tcPr>
            <w:tcW w:type="dxa" w:w="12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30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23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088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</w:tr>
      <w:tr>
        <w:tc>
          <w:tcPr>
            <w:tcW w:type="dxa" w:w="12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30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23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088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</w:tr>
      <w:tr>
        <w:tc>
          <w:tcPr>
            <w:tcW w:type="dxa" w:w="12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59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3024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232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2088"/>
            <w:vAlign w:val="center"/>
          </w:tcPr>
          <w:p>
            <w:r/>
            <w:r>
              <w:rPr>
                <w:rFonts w:ascii="Aptos" w:hAnsi="Aptos"/>
                <w:b w:val="0"/>
                <w:sz w:val="15"/>
              </w:rPr>
            </w:r>
          </w:p>
        </w:tc>
      </w:tr>
    </w:tbl>
    <w:p/>
    <w:p>
      <w:pPr>
        <w:pStyle w:val="Heading1"/>
      </w:pPr>
      <w:r>
        <w:t>Issue and deviation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c>
          <w:tcPr>
            <w:tcW w:type="dxa" w:w="720"/>
            <w:vAlign w:val="center"/>
            <w:shd w:fill="D9E2F3"/>
          </w:tcPr>
          <w:p>
            <w:r/>
            <w:r>
              <w:rPr>
                <w:rFonts w:ascii="Aptos" w:hAnsi="Aptos"/>
                <w:b/>
                <w:sz w:val="14"/>
              </w:rPr>
              <w:t>ID</w:t>
            </w:r>
          </w:p>
        </w:tc>
        <w:tc>
          <w:tcPr>
            <w:tcW w:type="dxa" w:w="1152"/>
            <w:vAlign w:val="center"/>
            <w:shd w:fill="D9E2F3"/>
          </w:tcPr>
          <w:p>
            <w:r/>
            <w:r>
              <w:rPr>
                <w:rFonts w:ascii="Aptos" w:hAnsi="Aptos"/>
                <w:b/>
                <w:sz w:val="14"/>
              </w:rPr>
              <w:t>Date</w:t>
            </w:r>
          </w:p>
        </w:tc>
        <w:tc>
          <w:tcPr>
            <w:tcW w:type="dxa" w:w="3168"/>
            <w:vAlign w:val="center"/>
            <w:shd w:fill="D9E2F3"/>
          </w:tcPr>
          <w:p>
            <w:r/>
            <w:r>
              <w:rPr>
                <w:rFonts w:ascii="Aptos" w:hAnsi="Aptos"/>
                <w:b/>
                <w:sz w:val="14"/>
              </w:rPr>
              <w:t>Issue / deviation</w:t>
            </w:r>
          </w:p>
        </w:tc>
        <w:tc>
          <w:tcPr>
            <w:tcW w:type="dxa" w:w="2304"/>
            <w:vAlign w:val="center"/>
            <w:shd w:fill="D9E2F3"/>
          </w:tcPr>
          <w:p>
            <w:r/>
            <w:r>
              <w:rPr>
                <w:rFonts w:ascii="Aptos" w:hAnsi="Aptos"/>
                <w:b/>
                <w:sz w:val="14"/>
              </w:rPr>
              <w:t>Impact on validity</w:t>
            </w:r>
          </w:p>
        </w:tc>
        <w:tc>
          <w:tcPr>
            <w:tcW w:type="dxa" w:w="2448"/>
            <w:vAlign w:val="center"/>
            <w:shd w:fill="D9E2F3"/>
          </w:tcPr>
          <w:p>
            <w:r/>
            <w:r>
              <w:rPr>
                <w:rFonts w:ascii="Aptos" w:hAnsi="Aptos"/>
                <w:b/>
                <w:sz w:val="14"/>
              </w:rPr>
              <w:t>Resolution</w:t>
            </w:r>
          </w:p>
        </w:tc>
        <w:tc>
          <w:tcPr>
            <w:tcW w:type="dxa" w:w="1440"/>
            <w:vAlign w:val="center"/>
            <w:shd w:fill="D9E2F3"/>
          </w:tcPr>
          <w:p>
            <w:r/>
            <w:r>
              <w:rPr>
                <w:rFonts w:ascii="Aptos" w:hAnsi="Aptos"/>
                <w:b/>
                <w:sz w:val="14"/>
              </w:rPr>
              <w:t>Disclose in paper?</w:t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304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448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304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448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304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448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304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448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304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448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304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448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304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448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</w:tr>
      <w:tr>
        <w:tc>
          <w:tcPr>
            <w:tcW w:type="dxa" w:w="720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1152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304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2448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  <w:tc>
          <w:tcPr>
            <w:tcW w:type="dxa" w:w="1440"/>
            <w:vAlign w:val="center"/>
          </w:tcPr>
          <w:p>
            <w:r/>
            <w:r>
              <w:rPr>
                <w:rFonts w:ascii="Aptos" w:hAnsi="Aptos"/>
                <w:b w:val="0"/>
                <w:sz w:val="14"/>
              </w:rPr>
            </w:r>
          </w:p>
        </w:tc>
      </w:tr>
    </w:tbl>
    <w:p/>
    <w:p>
      <w:pPr>
        <w:pStyle w:val="Heading1"/>
      </w:pPr>
      <w:r>
        <w:t>Publication assets checklist</w:t>
      </w:r>
    </w:p>
    <w:p>
      <w:pPr>
        <w:ind w:left="216"/>
      </w:pPr>
      <w:r>
        <w:rPr>
          <w:b/>
        </w:rPr>
        <w:t xml:space="preserve">[ ] </w:t>
      </w:r>
      <w:r>
        <w:t>Final article / paper</w:t>
      </w:r>
    </w:p>
    <w:p>
      <w:pPr>
        <w:ind w:left="216"/>
      </w:pPr>
      <w:r>
        <w:rPr>
          <w:b/>
        </w:rPr>
        <w:t xml:space="preserve">[ ] </w:t>
      </w:r>
      <w:r>
        <w:t>1 hero chart showing primary comparison</w:t>
      </w:r>
    </w:p>
    <w:p>
      <w:pPr>
        <w:ind w:left="216"/>
      </w:pPr>
      <w:r>
        <w:rPr>
          <w:b/>
        </w:rPr>
        <w:t xml:space="preserve">[ ] </w:t>
      </w:r>
      <w:r>
        <w:t>1 scenario-by-condition result table</w:t>
      </w:r>
    </w:p>
    <w:p>
      <w:pPr>
        <w:ind w:left="216"/>
      </w:pPr>
      <w:r>
        <w:rPr>
          <w:b/>
        </w:rPr>
        <w:t xml:space="preserve">[ ] </w:t>
      </w:r>
      <w:r>
        <w:t>1 architecture diagram of agent -&gt; control gate -&gt; tools -&gt; evidence log</w:t>
      </w:r>
    </w:p>
    <w:p>
      <w:pPr>
        <w:ind w:left="216"/>
      </w:pPr>
      <w:r>
        <w:rPr>
          <w:b/>
        </w:rPr>
        <w:t xml:space="preserve">[ ] </w:t>
      </w:r>
      <w:r>
        <w:t>1 incident trace showing a block or failure from prompt through tool decision</w:t>
      </w:r>
    </w:p>
    <w:p>
      <w:pPr>
        <w:ind w:left="216"/>
      </w:pPr>
      <w:r>
        <w:rPr>
          <w:b/>
        </w:rPr>
        <w:t xml:space="preserve">[ ] </w:t>
      </w:r>
      <w:r>
        <w:t>Methodology / protocol download</w:t>
      </w:r>
    </w:p>
    <w:p>
      <w:pPr>
        <w:ind w:left="216"/>
      </w:pPr>
      <w:r>
        <w:rPr>
          <w:b/>
        </w:rPr>
        <w:t xml:space="preserve">[ ] </w:t>
      </w:r>
      <w:r>
        <w:t>Repository link</w:t>
      </w:r>
    </w:p>
    <w:p>
      <w:pPr>
        <w:ind w:left="216"/>
      </w:pPr>
      <w:r>
        <w:rPr>
          <w:b/>
        </w:rPr>
        <w:t xml:space="preserve">[ ] </w:t>
      </w:r>
      <w:r>
        <w:t>Data / schema link or downloadable safe dataset</w:t>
      </w:r>
    </w:p>
    <w:p>
      <w:pPr>
        <w:ind w:left="216"/>
      </w:pPr>
      <w:r>
        <w:rPr>
          <w:b/>
        </w:rPr>
        <w:t xml:space="preserve">[ ] </w:t>
      </w:r>
      <w:r>
        <w:t>Environment and version manifest</w:t>
      </w:r>
    </w:p>
    <w:p>
      <w:pPr>
        <w:ind w:left="216"/>
      </w:pPr>
      <w:r>
        <w:rPr>
          <w:b/>
        </w:rPr>
        <w:t xml:space="preserve">[ ] </w:t>
      </w:r>
      <w:r>
        <w:t>Limitations section</w:t>
      </w:r>
    </w:p>
    <w:p>
      <w:pPr>
        <w:ind w:left="216"/>
      </w:pPr>
      <w:r>
        <w:rPr>
          <w:b/>
        </w:rPr>
        <w:t xml:space="preserve">[ ] </w:t>
      </w:r>
      <w:r>
        <w:t>Changelog and rerun history</w:t>
      </w:r>
    </w:p>
    <w:p>
      <w:pPr>
        <w:ind w:left="216"/>
      </w:pPr>
      <w:r>
        <w:rPr>
          <w:b/>
        </w:rPr>
        <w:t xml:space="preserve">[ ] </w:t>
      </w:r>
      <w:r>
        <w:t>FairByDesign Evidence Lab index entry</w:t>
      </w:r>
    </w:p>
    <w:p>
      <w:pPr>
        <w:ind w:left="216"/>
      </w:pPr>
      <w:r>
        <w:rPr>
          <w:b/>
        </w:rPr>
        <w:t xml:space="preserve">[ ] </w:t>
      </w:r>
      <w:r>
        <w:t>Mercury Brief / newsletter summary linking to full lab</w:t>
      </w:r>
    </w:p>
    <w:p>
      <w:pPr>
        <w:pStyle w:val="Heading1"/>
      </w:pPr>
      <w:r>
        <w:t>Monthly Evidence Lab operating cadence after Lab 001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592"/>
            <w:vAlign w:val="center"/>
            <w:shd w:fill="D9E2F3"/>
          </w:tcPr>
          <w:p>
            <w:r/>
            <w:r>
              <w:rPr>
                <w:rFonts w:ascii="Aptos" w:hAnsi="Aptos"/>
                <w:b/>
                <w:sz w:val="17"/>
              </w:rPr>
              <w:t>Phase</w:t>
            </w:r>
          </w:p>
        </w:tc>
        <w:tc>
          <w:tcPr>
            <w:tcW w:type="dxa" w:w="7200"/>
            <w:vAlign w:val="center"/>
            <w:shd w:fill="D9E2F3"/>
          </w:tcPr>
          <w:p>
            <w:r/>
            <w:r>
              <w:rPr>
                <w:rFonts w:ascii="Aptos" w:hAnsi="Aptos"/>
                <w:b/>
                <w:sz w:val="17"/>
              </w:rPr>
              <w:t>Default work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rFonts w:ascii="Aptos" w:hAnsi="Aptos"/>
                <w:b w:val="0"/>
                <w:sz w:val="17"/>
              </w:rPr>
              <w:t>Week 1 - Question</w:t>
            </w:r>
          </w:p>
        </w:tc>
        <w:tc>
          <w:tcPr>
            <w:tcW w:type="dxa" w:w="7200"/>
            <w:vAlign w:val="center"/>
          </w:tcPr>
          <w:p>
            <w:r/>
            <w:r>
              <w:rPr>
                <w:rFonts w:ascii="Aptos" w:hAnsi="Aptos"/>
                <w:b w:val="0"/>
                <w:sz w:val="17"/>
              </w:rPr>
              <w:t>Choose one narrow, consequential claim. Review primary standards/docs. Pre-register hypothesis, threat model, metrics and exclusions.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rFonts w:ascii="Aptos" w:hAnsi="Aptos"/>
                <w:b w:val="0"/>
                <w:sz w:val="17"/>
              </w:rPr>
              <w:t>Week 2 - Rig</w:t>
            </w:r>
          </w:p>
        </w:tc>
        <w:tc>
          <w:tcPr>
            <w:tcW w:type="dxa" w:w="7200"/>
            <w:vAlign w:val="center"/>
          </w:tcPr>
          <w:p>
            <w:r/>
            <w:r>
              <w:rPr>
                <w:rFonts w:ascii="Aptos" w:hAnsi="Aptos"/>
                <w:b w:val="0"/>
                <w:sz w:val="17"/>
              </w:rPr>
              <w:t>Build the controlled system, instrumentation and fixtures. Unit-test controls. Calibrate.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rFonts w:ascii="Aptos" w:hAnsi="Aptos"/>
                <w:b w:val="0"/>
                <w:sz w:val="17"/>
              </w:rPr>
              <w:t>Week 3 - Evidence</w:t>
            </w:r>
          </w:p>
        </w:tc>
        <w:tc>
          <w:tcPr>
            <w:tcW w:type="dxa" w:w="7200"/>
            <w:vAlign w:val="center"/>
          </w:tcPr>
          <w:p>
            <w:r/>
            <w:r>
              <w:rPr>
                <w:rFonts w:ascii="Aptos" w:hAnsi="Aptos"/>
                <w:b w:val="0"/>
                <w:sz w:val="17"/>
              </w:rPr>
              <w:t>Freeze versions. Run benchmark. Preserve raw data. QA and verification reruns.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rFonts w:ascii="Aptos" w:hAnsi="Aptos"/>
                <w:b w:val="0"/>
                <w:sz w:val="17"/>
              </w:rPr>
              <w:t>Week 4 - Publication</w:t>
            </w:r>
          </w:p>
        </w:tc>
        <w:tc>
          <w:tcPr>
            <w:tcW w:type="dxa" w:w="7200"/>
            <w:vAlign w:val="center"/>
          </w:tcPr>
          <w:p>
            <w:r/>
            <w:r>
              <w:rPr>
                <w:rFonts w:ascii="Aptos" w:hAnsi="Aptos"/>
                <w:b w:val="0"/>
                <w:sz w:val="17"/>
              </w:rPr>
              <w:t>Analyze, write, reproduce figures, claim-check, release method/code/data and publish the deep study.</w:t>
            </w:r>
          </w:p>
        </w:tc>
      </w:tr>
      <w:tr>
        <w:tc>
          <w:tcPr>
            <w:tcW w:type="dxa" w:w="2592"/>
            <w:vAlign w:val="center"/>
          </w:tcPr>
          <w:p>
            <w:r/>
            <w:r>
              <w:rPr>
                <w:rFonts w:ascii="Aptos" w:hAnsi="Aptos"/>
                <w:b w:val="0"/>
                <w:sz w:val="17"/>
              </w:rPr>
              <w:t>Quarterly / material change</w:t>
            </w:r>
          </w:p>
        </w:tc>
        <w:tc>
          <w:tcPr>
            <w:tcW w:type="dxa" w:w="7200"/>
            <w:vAlign w:val="center"/>
          </w:tcPr>
          <w:p>
            <w:r/>
            <w:r>
              <w:rPr>
                <w:rFonts w:ascii="Aptos" w:hAnsi="Aptos"/>
                <w:b w:val="0"/>
                <w:sz w:val="17"/>
              </w:rPr>
              <w:t>Rerun selected living benchmarks after significant model/framework/protocol/control changes.</w:t>
            </w:r>
          </w:p>
        </w:tc>
      </w:tr>
    </w:tbl>
    <w:p/>
    <w:p>
      <w:pPr>
        <w:pStyle w:val="Heading1"/>
      </w:pPr>
      <w:r>
        <w:t>Candidate next labs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1440"/>
            <w:vAlign w:val="center"/>
            <w:shd w:fill="D9E2F3"/>
          </w:tcPr>
          <w:p>
            <w:r/>
            <w:r>
              <w:rPr>
                <w:rFonts w:ascii="Aptos" w:hAnsi="Aptos"/>
                <w:b/>
                <w:sz w:val="16"/>
              </w:rPr>
              <w:t>ID</w:t>
            </w:r>
          </w:p>
        </w:tc>
        <w:tc>
          <w:tcPr>
            <w:tcW w:type="dxa" w:w="3168"/>
            <w:vAlign w:val="center"/>
            <w:shd w:fill="D9E2F3"/>
          </w:tcPr>
          <w:p>
            <w:r/>
            <w:r>
              <w:rPr>
                <w:rFonts w:ascii="Aptos" w:hAnsi="Aptos"/>
                <w:b/>
                <w:sz w:val="16"/>
              </w:rPr>
              <w:t>Working title</w:t>
            </w:r>
          </w:p>
        </w:tc>
        <w:tc>
          <w:tcPr>
            <w:tcW w:type="dxa" w:w="5184"/>
            <w:vAlign w:val="center"/>
            <w:shd w:fill="D9E2F3"/>
          </w:tcPr>
          <w:p>
            <w:r/>
            <w:r>
              <w:rPr>
                <w:rFonts w:ascii="Aptos" w:hAnsi="Aptos"/>
                <w:b/>
                <w:sz w:val="16"/>
              </w:rPr>
              <w:t>Core test</w:t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rFonts w:ascii="Aptos" w:hAnsi="Aptos"/>
                <w:b w:val="0"/>
                <w:sz w:val="16"/>
              </w:rPr>
              <w:t>FBD-EL-002</w:t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rFonts w:ascii="Aptos" w:hAnsi="Aptos"/>
                <w:b w:val="0"/>
                <w:sz w:val="16"/>
              </w:rPr>
              <w:t>MCP Authorization Under Pressure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Aptos" w:hAnsi="Aptos"/>
                <w:b w:val="0"/>
                <w:sz w:val="16"/>
              </w:rPr>
              <w:t>Test scope, issuer validation, tool authorization and approval boundaries using the current MCP specification.</w:t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rFonts w:ascii="Aptos" w:hAnsi="Aptos"/>
                <w:b w:val="0"/>
                <w:sz w:val="16"/>
              </w:rPr>
              <w:t>FBD-EL-003</w:t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rFonts w:ascii="Aptos" w:hAnsi="Aptos"/>
                <w:b w:val="0"/>
                <w:sz w:val="16"/>
              </w:rPr>
              <w:t>Observability Is Not Accountability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Aptos" w:hAnsi="Aptos"/>
                <w:b w:val="0"/>
                <w:sz w:val="16"/>
              </w:rPr>
              <w:t>Measure what agent traces/logs can and cannot establish during incident reconstruction.</w:t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rFonts w:ascii="Aptos" w:hAnsi="Aptos"/>
                <w:b w:val="0"/>
                <w:sz w:val="16"/>
              </w:rPr>
              <w:t>FBD-EL-004</w:t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rFonts w:ascii="Aptos" w:hAnsi="Aptos"/>
                <w:b w:val="0"/>
                <w:sz w:val="16"/>
              </w:rPr>
              <w:t>Human Override Test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Aptos" w:hAnsi="Aptos"/>
                <w:b w:val="0"/>
                <w:sz w:val="16"/>
              </w:rPr>
              <w:t>Measure recognition, intervention and reversal when humans supervise risky agent actions.</w:t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rFonts w:ascii="Aptos" w:hAnsi="Aptos"/>
                <w:b w:val="0"/>
                <w:sz w:val="16"/>
              </w:rPr>
              <w:t>FBD-EL-005</w:t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rFonts w:ascii="Aptos" w:hAnsi="Aptos"/>
                <w:b w:val="0"/>
                <w:sz w:val="16"/>
              </w:rPr>
              <w:t>Memory Poisoning Persistence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Aptos" w:hAnsi="Aptos"/>
                <w:b w:val="0"/>
                <w:sz w:val="16"/>
              </w:rPr>
              <w:t>Measure whether poisoned context or memory continues to influence later high-risk tool actions and whether controls detect it.</w:t>
            </w:r>
          </w:p>
        </w:tc>
      </w:tr>
      <w:tr>
        <w:tc>
          <w:tcPr>
            <w:tcW w:type="dxa" w:w="1440"/>
            <w:vAlign w:val="center"/>
          </w:tcPr>
          <w:p>
            <w:r/>
            <w:r>
              <w:rPr>
                <w:rFonts w:ascii="Aptos" w:hAnsi="Aptos"/>
                <w:b w:val="0"/>
                <w:sz w:val="16"/>
              </w:rPr>
              <w:t>FBD-EL-006</w:t>
            </w:r>
          </w:p>
        </w:tc>
        <w:tc>
          <w:tcPr>
            <w:tcW w:type="dxa" w:w="3168"/>
            <w:vAlign w:val="center"/>
          </w:tcPr>
          <w:p>
            <w:r/>
            <w:r>
              <w:rPr>
                <w:rFonts w:ascii="Aptos" w:hAnsi="Aptos"/>
                <w:b w:val="0"/>
                <w:sz w:val="16"/>
              </w:rPr>
              <w:t>Security Claim Verification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rFonts w:ascii="Aptos" w:hAnsi="Aptos"/>
                <w:b w:val="0"/>
                <w:sz w:val="16"/>
              </w:rPr>
              <w:t>Select a concrete vendor/framework security claim and build a reproducible test around the claim as written.</w:t>
            </w:r>
          </w:p>
        </w:tc>
      </w:tr>
    </w:tbl>
    <w:p/>
    <w:p>
      <w:pPr>
        <w:pStyle w:val="Heading1"/>
      </w:pPr>
      <w:r>
        <w:t>Research principle to keep visible</w:t>
      </w:r>
    </w:p>
    <w:p>
      <w:r>
        <w:rPr>
          <w:b/>
        </w:rPr>
        <w:t>Do not optimize the experiment for a dramatic headline. Optimize it so a skeptical engineer can reproduce the number and tell you where you are wrong.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sz w:val="16"/>
      </w:rPr>
      <w:t>FAIRBYDESIGN Evidence Lab | FBD-EL-001 PROJECT | September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